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5A500" w14:textId="77777777" w:rsidR="00114CB7" w:rsidRDefault="00B31450">
      <w:pPr>
        <w:pStyle w:val="Zkladntext20"/>
        <w:shd w:val="clear" w:color="auto" w:fill="auto"/>
      </w:pPr>
      <w:r>
        <w:t>Příloha č. 1</w:t>
      </w:r>
    </w:p>
    <w:p w14:paraId="0797C021" w14:textId="77777777" w:rsidR="00114CB7" w:rsidRDefault="00B31450">
      <w:pPr>
        <w:pStyle w:val="Zkladntext20"/>
        <w:shd w:val="clear" w:color="auto" w:fill="auto"/>
      </w:pPr>
      <w:r>
        <w:t>Rozsah činností údržby a oprav veřejného a slavnostního osvětlení, světelných a dopravních značek</w:t>
      </w:r>
    </w:p>
    <w:p w14:paraId="63B25E45" w14:textId="77777777" w:rsidR="00114CB7" w:rsidRDefault="00B31450">
      <w:pPr>
        <w:pStyle w:val="Nadpis10"/>
        <w:keepNext/>
        <w:keepLines/>
        <w:shd w:val="clear" w:color="auto" w:fill="auto"/>
        <w:spacing w:after="830" w:line="280" w:lineRule="exact"/>
        <w:ind w:left="380"/>
      </w:pPr>
      <w:bookmarkStart w:id="0" w:name="bookmark0"/>
      <w:r>
        <w:t>ROZPIS POSKYTOVANÝCH SLUŽEB</w:t>
      </w:r>
      <w:bookmarkEnd w:id="0"/>
    </w:p>
    <w:p w14:paraId="4CD76451" w14:textId="77777777" w:rsidR="00114CB7" w:rsidRPr="00A008E2" w:rsidRDefault="00B31450">
      <w:pPr>
        <w:pStyle w:val="Zkladntext21"/>
        <w:shd w:val="clear" w:color="auto" w:fill="auto"/>
        <w:spacing w:before="0" w:after="224" w:line="240" w:lineRule="exact"/>
        <w:ind w:firstLine="0"/>
        <w:rPr>
          <w:b/>
        </w:rPr>
      </w:pPr>
      <w:r w:rsidRPr="00A008E2">
        <w:rPr>
          <w:b/>
        </w:rPr>
        <w:t>ÚDRŽB</w:t>
      </w:r>
      <w:r w:rsidR="00A008E2">
        <w:rPr>
          <w:b/>
        </w:rPr>
        <w:t>A</w:t>
      </w:r>
      <w:r w:rsidRPr="00A008E2">
        <w:rPr>
          <w:b/>
        </w:rPr>
        <w:t xml:space="preserve"> A OPRAVY VEŘEJNÉHO A SLAVNOSTNÍHO OSVĚTLENÍ</w:t>
      </w:r>
    </w:p>
    <w:p w14:paraId="7E305CCD" w14:textId="77777777" w:rsidR="00114CB7" w:rsidRPr="00A008E2" w:rsidRDefault="00B31450" w:rsidP="00A008E2">
      <w:pPr>
        <w:pStyle w:val="Zkladntext21"/>
        <w:shd w:val="clear" w:color="auto" w:fill="auto"/>
        <w:spacing w:before="0" w:after="0" w:line="274" w:lineRule="exact"/>
        <w:ind w:firstLine="0"/>
        <w:rPr>
          <w:u w:val="single"/>
        </w:rPr>
      </w:pPr>
      <w:r w:rsidRPr="00A008E2">
        <w:rPr>
          <w:u w:val="single"/>
        </w:rPr>
        <w:t>Specifikace závad</w:t>
      </w:r>
    </w:p>
    <w:p w14:paraId="20651B76" w14:textId="77777777" w:rsidR="00114CB7" w:rsidRDefault="00B31450" w:rsidP="00A008E2">
      <w:pPr>
        <w:pStyle w:val="Zkladntext21"/>
        <w:numPr>
          <w:ilvl w:val="1"/>
          <w:numId w:val="1"/>
        </w:numPr>
        <w:shd w:val="clear" w:color="auto" w:fill="auto"/>
        <w:spacing w:before="0" w:after="240" w:line="274" w:lineRule="exact"/>
        <w:ind w:left="567" w:right="20" w:hanging="283"/>
        <w:jc w:val="both"/>
      </w:pPr>
      <w:r>
        <w:t>Předmětem činnosti je odstranění obecně definovaných závad na technickém zařízení, která způsobují jeho částečnou nebo úplnou nefunkčnost, snižují jeho bezpečnost anebo jsou v rozporu mezi skutečn</w:t>
      </w:r>
      <w:r w:rsidR="00DE7D6A">
        <w:t>ostí a technickou dokumentací (</w:t>
      </w:r>
      <w:r>
        <w:t>vyjma změn učiněných na základě</w:t>
      </w:r>
      <w:r w:rsidR="00DE7D6A">
        <w:t xml:space="preserve"> písemného požadavku zadavatele</w:t>
      </w:r>
      <w:r>
        <w:t xml:space="preserve">). Za další okruh závad se považují viditelně poškozené části svítidel, podpěrných prvků, kabelových a venkovních rozvodů apod.; viditelně pozměněný povrch technického zařízení </w:t>
      </w:r>
      <w:r w:rsidR="00293305">
        <w:t>(např. znečištění, kresby sprej</w:t>
      </w:r>
      <w:r>
        <w:t>erů, plakátky, nálepky, větší poškození barevného provedení apod.); přerostlé větve stromů s nutností prořezu u technických zařízení; následky havárií, provozních poruch, vandalismu a škodných událostí (dopravní nehody, krádeže, loupeže).</w:t>
      </w:r>
      <w:r w:rsidR="00DE7D6A">
        <w:t xml:space="preserve"> </w:t>
      </w:r>
    </w:p>
    <w:p w14:paraId="61DB426D" w14:textId="77777777" w:rsidR="00114CB7" w:rsidRPr="00A008E2" w:rsidRDefault="00B31450" w:rsidP="00A008E2">
      <w:pPr>
        <w:pStyle w:val="Zkladntext21"/>
        <w:shd w:val="clear" w:color="auto" w:fill="auto"/>
        <w:spacing w:before="0" w:after="0" w:line="274" w:lineRule="exact"/>
        <w:ind w:firstLine="0"/>
        <w:rPr>
          <w:u w:val="single"/>
        </w:rPr>
      </w:pPr>
      <w:r w:rsidRPr="00A008E2">
        <w:rPr>
          <w:u w:val="single"/>
        </w:rPr>
        <w:t>Zjišťování závad na technickém zařízení</w:t>
      </w:r>
    </w:p>
    <w:p w14:paraId="33903128" w14:textId="0EE42ACE" w:rsidR="00114CB7" w:rsidRDefault="00B31450" w:rsidP="007C7478">
      <w:pPr>
        <w:pStyle w:val="Zkladntext21"/>
        <w:numPr>
          <w:ilvl w:val="1"/>
          <w:numId w:val="1"/>
        </w:numPr>
        <w:shd w:val="clear" w:color="auto" w:fill="auto"/>
        <w:spacing w:before="0" w:after="240" w:line="274" w:lineRule="exact"/>
        <w:ind w:left="567" w:right="20" w:hanging="283"/>
        <w:jc w:val="both"/>
      </w:pPr>
      <w:r>
        <w:t xml:space="preserve">Předmětem činnosti je zjišťování závad vlastní kontrolní činností formou pochůzky, nejméně každých 5 dní, s vizuální kontrolou stavu. U telefonického zjišťování závad je </w:t>
      </w:r>
      <w:r w:rsidR="00435000">
        <w:t>účastník</w:t>
      </w:r>
      <w:r>
        <w:t xml:space="preserve"> povinen zajistit jednu mobilní telefonní linku</w:t>
      </w:r>
      <w:r w:rsidR="007C7478">
        <w:t>, kterou</w:t>
      </w:r>
      <w:r>
        <w:t xml:space="preserve"> uvede </w:t>
      </w:r>
      <w:r w:rsidR="00435000">
        <w:t>účastník</w:t>
      </w:r>
      <w:r>
        <w:t xml:space="preserve"> </w:t>
      </w:r>
      <w:r w:rsidR="007C7478">
        <w:t>do návrhu smlouvy</w:t>
      </w:r>
      <w:r>
        <w:t xml:space="preserve">. </w:t>
      </w:r>
      <w:r w:rsidR="007C7478">
        <w:t>Telefonní linka mus</w:t>
      </w:r>
      <w:bookmarkStart w:id="1" w:name="_GoBack"/>
      <w:bookmarkEnd w:id="1"/>
      <w:r>
        <w:t>í být v provozu nepřetržitě, tedy 24 hodin denně, 365 dní v roce.</w:t>
      </w:r>
    </w:p>
    <w:p w14:paraId="3DBA920A" w14:textId="0E930DEC" w:rsidR="00114CB7" w:rsidRPr="00A008E2" w:rsidRDefault="002F028E" w:rsidP="00A008E2">
      <w:pPr>
        <w:pStyle w:val="Zkladntext21"/>
        <w:shd w:val="clear" w:color="auto" w:fill="auto"/>
        <w:spacing w:before="0" w:after="0" w:line="274" w:lineRule="exact"/>
        <w:ind w:firstLine="0"/>
        <w:rPr>
          <w:u w:val="single"/>
        </w:rPr>
      </w:pPr>
      <w:r>
        <w:rPr>
          <w:u w:val="single"/>
        </w:rPr>
        <w:t>Hlášení závad - INFOMAP</w:t>
      </w:r>
    </w:p>
    <w:p w14:paraId="3981608D" w14:textId="1A11984D" w:rsidR="00114CB7" w:rsidRDefault="00435000" w:rsidP="00A008E2">
      <w:pPr>
        <w:pStyle w:val="Zkladntext21"/>
        <w:numPr>
          <w:ilvl w:val="1"/>
          <w:numId w:val="1"/>
        </w:numPr>
        <w:shd w:val="clear" w:color="auto" w:fill="auto"/>
        <w:spacing w:before="0" w:after="240" w:line="274" w:lineRule="exact"/>
        <w:ind w:left="567" w:right="20" w:hanging="283"/>
        <w:jc w:val="both"/>
      </w:pPr>
      <w:r>
        <w:t xml:space="preserve">Účastník </w:t>
      </w:r>
      <w:r w:rsidR="00B31450">
        <w:t xml:space="preserve">vede </w:t>
      </w:r>
      <w:r w:rsidR="002F028E">
        <w:t xml:space="preserve">seznam </w:t>
      </w:r>
      <w:r w:rsidR="00B31450">
        <w:t>závad</w:t>
      </w:r>
      <w:r w:rsidR="002F028E">
        <w:t xml:space="preserve"> v aplikaci INFOMAP,</w:t>
      </w:r>
      <w:r w:rsidR="00B31450">
        <w:t xml:space="preserve"> do které j</w:t>
      </w:r>
      <w:r w:rsidR="002F028E">
        <w:t>sou</w:t>
      </w:r>
      <w:r w:rsidR="00B31450">
        <w:t xml:space="preserve"> průběžně zaznamená</w:t>
      </w:r>
      <w:r w:rsidR="002F028E">
        <w:t>vány</w:t>
      </w:r>
      <w:r w:rsidR="00B31450">
        <w:t xml:space="preserve"> údaje</w:t>
      </w:r>
      <w:r w:rsidR="00173719">
        <w:t xml:space="preserve"> o zá</w:t>
      </w:r>
      <w:r w:rsidR="002F028E">
        <w:t>v</w:t>
      </w:r>
      <w:r w:rsidR="00173719">
        <w:t>a</w:t>
      </w:r>
      <w:r w:rsidR="002F028E">
        <w:t>dách s</w:t>
      </w:r>
      <w:r w:rsidR="00B31450">
        <w:t xml:space="preserve"> dat</w:t>
      </w:r>
      <w:r w:rsidR="002F028E">
        <w:t>e</w:t>
      </w:r>
      <w:r w:rsidR="00B31450">
        <w:t>m a čas</w:t>
      </w:r>
      <w:r w:rsidR="00C0196E">
        <w:t>em</w:t>
      </w:r>
      <w:r w:rsidR="00B31450">
        <w:t xml:space="preserve"> nahlášení nebo zjištění závady; </w:t>
      </w:r>
      <w:r w:rsidR="002F028E">
        <w:t xml:space="preserve">označeno </w:t>
      </w:r>
      <w:r w:rsidR="00B31450">
        <w:t xml:space="preserve">místo závady; kdo závadu nahlásil; datum a čas odstranění závady. Protože je povinností </w:t>
      </w:r>
      <w:r>
        <w:t>účastníka</w:t>
      </w:r>
      <w:r w:rsidR="00B31450">
        <w:t xml:space="preserve"> vést </w:t>
      </w:r>
      <w:r w:rsidR="002F028E">
        <w:t>evidenci</w:t>
      </w:r>
      <w:r w:rsidR="00B31450">
        <w:t xml:space="preserve"> závad průběžně, žádný záznam nesmí být zaznamenán se zpožděním delším než 12 hodin. Zadavatel je oprávněn kdykoli provést kontrolu záznamů v </w:t>
      </w:r>
      <w:r w:rsidR="002F028E">
        <w:t>aplikaci</w:t>
      </w:r>
      <w:r w:rsidR="00B31450">
        <w:t xml:space="preserve">. </w:t>
      </w:r>
      <w:r>
        <w:t>Účastník je povinen</w:t>
      </w:r>
      <w:r w:rsidR="00B31450">
        <w:t xml:space="preserve"> veškeré závady průběžně odstraňovat </w:t>
      </w:r>
      <w:r w:rsidR="00B177E9">
        <w:t>dle odst. 8. 3. smlouvy.</w:t>
      </w:r>
    </w:p>
    <w:p w14:paraId="3361CFAC" w14:textId="77777777" w:rsidR="00114CB7" w:rsidRPr="00A008E2" w:rsidRDefault="00B31450" w:rsidP="00A008E2">
      <w:pPr>
        <w:pStyle w:val="Zkladntext21"/>
        <w:shd w:val="clear" w:color="auto" w:fill="auto"/>
        <w:spacing w:before="0" w:after="0" w:line="274" w:lineRule="exact"/>
        <w:ind w:firstLine="0"/>
        <w:rPr>
          <w:u w:val="single"/>
        </w:rPr>
      </w:pPr>
      <w:r w:rsidRPr="00A008E2">
        <w:rPr>
          <w:u w:val="single"/>
        </w:rPr>
        <w:t>Pravidelná údržba technického zařízení</w:t>
      </w:r>
    </w:p>
    <w:p w14:paraId="4A68DA24" w14:textId="58267647" w:rsidR="00114CB7" w:rsidRDefault="00B31450" w:rsidP="00A008E2">
      <w:pPr>
        <w:pStyle w:val="Zkladntext21"/>
        <w:numPr>
          <w:ilvl w:val="1"/>
          <w:numId w:val="1"/>
        </w:numPr>
        <w:shd w:val="clear" w:color="auto" w:fill="auto"/>
        <w:spacing w:before="0" w:after="0" w:line="274" w:lineRule="exact"/>
        <w:ind w:left="567" w:right="20" w:hanging="283"/>
        <w:jc w:val="both"/>
      </w:pPr>
      <w:r>
        <w:t xml:space="preserve">Vybraný </w:t>
      </w:r>
      <w:r w:rsidR="00435000">
        <w:t>účastník</w:t>
      </w:r>
      <w:r>
        <w:t xml:space="preserve"> je povinen zajistit pravidelnou údržbu technického zařízení. Všechny práce související s údržbou je </w:t>
      </w:r>
      <w:r w:rsidR="00435000">
        <w:t>účastník</w:t>
      </w:r>
      <w:r>
        <w:t xml:space="preserve"> povinen průběžně zaznamenávat do pasportu technického zařízení a žádný údaj v něm nesmí být zapsán se zpožděním delším než 48 hodin. V rámci pravidelné údržby technického zařízení je vybraný </w:t>
      </w:r>
      <w:r w:rsidR="00435000">
        <w:t>účastník</w:t>
      </w:r>
      <w:r>
        <w:t xml:space="preserve"> povinen provádět celkovou kontrolu stavu technického zařízení dle obecně platných předpisů, minimálně v tomto rozsahu: 1 x ročně - čištění krytů; 1 x za dva roky dotažení proudových spojů; 1 x za tři roky dotažení mechanických spojů; 1 x za dva roky kontrola pevnosti sloupů (stav, tloušťka stěny); 1 x ročně kontrola směru, případně rovnání výložníků. </w:t>
      </w:r>
      <w:r w:rsidR="00435000">
        <w:t>Účastník</w:t>
      </w:r>
      <w:r>
        <w:t xml:space="preserve"> je povinen zajistit takový obsah a rozsah údržby,</w:t>
      </w:r>
      <w:r w:rsidR="00B177E9">
        <w:t xml:space="preserve"> </w:t>
      </w:r>
      <w:r>
        <w:t xml:space="preserve">který zajistí dlouhodobý řádný stav veškerých technických zařízení. </w:t>
      </w:r>
      <w:r w:rsidR="008C7D20" w:rsidRPr="008C7D20">
        <w:t xml:space="preserve">Výměny havarijních světelných bodů (montáž, demontáž bodu včetně zemních prací, výzbroje a kabeláže, zapojení svítidla a opětovného </w:t>
      </w:r>
      <w:r w:rsidR="008C7D20" w:rsidRPr="008C7D20">
        <w:lastRenderedPageBreak/>
        <w:t>napojení na soustavu.</w:t>
      </w:r>
      <w:r w:rsidR="008C7D20">
        <w:t xml:space="preserve"> </w:t>
      </w:r>
      <w:r>
        <w:t>Je přímo odpovědný za veškeré škody na technickém zařízení a za škody vzniklé jeho používáním, které vzniknou vlivem nedostatečného obsahu a rozsahu údržby těchto zařízení.</w:t>
      </w:r>
    </w:p>
    <w:p w14:paraId="33857D0E" w14:textId="77777777" w:rsidR="00A008E2" w:rsidRDefault="00A008E2" w:rsidP="00A008E2">
      <w:pPr>
        <w:pStyle w:val="Zkladntext21"/>
        <w:shd w:val="clear" w:color="auto" w:fill="auto"/>
        <w:spacing w:before="0" w:after="0" w:line="274" w:lineRule="exact"/>
        <w:ind w:left="567" w:right="20" w:firstLine="0"/>
        <w:jc w:val="both"/>
      </w:pPr>
    </w:p>
    <w:p w14:paraId="231B6418" w14:textId="77777777" w:rsidR="00114CB7" w:rsidRPr="00A008E2" w:rsidRDefault="00B31450" w:rsidP="00A008E2">
      <w:pPr>
        <w:pStyle w:val="Zkladntext21"/>
        <w:shd w:val="clear" w:color="auto" w:fill="auto"/>
        <w:spacing w:before="0" w:after="0" w:line="274" w:lineRule="exact"/>
        <w:ind w:firstLine="0"/>
        <w:rPr>
          <w:u w:val="single"/>
        </w:rPr>
      </w:pPr>
      <w:r w:rsidRPr="00A008E2">
        <w:rPr>
          <w:u w:val="single"/>
        </w:rPr>
        <w:t>Zajištění provozu technického zařízení</w:t>
      </w:r>
    </w:p>
    <w:p w14:paraId="6CDBB6AC" w14:textId="7DF27490" w:rsidR="00114CB7" w:rsidRDefault="00435000" w:rsidP="00A008E2">
      <w:pPr>
        <w:pStyle w:val="Zkladntext21"/>
        <w:numPr>
          <w:ilvl w:val="0"/>
          <w:numId w:val="1"/>
        </w:numPr>
        <w:shd w:val="clear" w:color="auto" w:fill="auto"/>
        <w:spacing w:before="0" w:after="240" w:line="274" w:lineRule="exact"/>
        <w:ind w:left="567" w:right="100" w:hanging="283"/>
        <w:jc w:val="both"/>
      </w:pPr>
      <w:r>
        <w:t>Účastník</w:t>
      </w:r>
      <w:r w:rsidR="00B31450">
        <w:t xml:space="preserve"> je povinen v rámci zajištění provozu technického zařízení a v případě požadavku zadavatele zajistit pravidelné odečty na měřidlech elektrické energie za technická zařízení.</w:t>
      </w:r>
    </w:p>
    <w:p w14:paraId="43FBC90A" w14:textId="6E98CFC6" w:rsidR="00114CB7" w:rsidRPr="00A008E2" w:rsidRDefault="00B31450" w:rsidP="00A008E2">
      <w:pPr>
        <w:pStyle w:val="Zkladntext21"/>
        <w:shd w:val="clear" w:color="auto" w:fill="auto"/>
        <w:spacing w:before="0" w:after="0" w:line="274" w:lineRule="exact"/>
        <w:ind w:firstLine="0"/>
        <w:rPr>
          <w:u w:val="single"/>
        </w:rPr>
      </w:pPr>
      <w:r w:rsidRPr="00A008E2">
        <w:rPr>
          <w:u w:val="single"/>
        </w:rPr>
        <w:t xml:space="preserve">Další povinnosti </w:t>
      </w:r>
      <w:r w:rsidR="00173719">
        <w:rPr>
          <w:u w:val="single"/>
        </w:rPr>
        <w:t>účastníka</w:t>
      </w:r>
    </w:p>
    <w:p w14:paraId="2D5C557B" w14:textId="356DB68D" w:rsidR="00114CB7" w:rsidRDefault="00173719" w:rsidP="00A008E2">
      <w:pPr>
        <w:pStyle w:val="Zkladntext21"/>
        <w:numPr>
          <w:ilvl w:val="0"/>
          <w:numId w:val="1"/>
        </w:numPr>
        <w:shd w:val="clear" w:color="auto" w:fill="auto"/>
        <w:spacing w:before="0" w:after="243" w:line="274" w:lineRule="exact"/>
        <w:ind w:left="567" w:right="100" w:hanging="283"/>
        <w:jc w:val="both"/>
      </w:pPr>
      <w:r>
        <w:t>Účastník</w:t>
      </w:r>
      <w:r w:rsidR="00B31450">
        <w:t xml:space="preserve"> je ve vztahu k zadavateli povinen každých 6 měsíců zpracovat a předložit podrobnou písemnou zprávu o plnění podmínek daných uzavřenou smlouvou</w:t>
      </w:r>
      <w:r>
        <w:t>. Účastník je povinen</w:t>
      </w:r>
      <w:r w:rsidR="00B31450">
        <w:t xml:space="preserve"> vždy do konce 11. měsíce příslušného kalendářního roku předložit zadavateli plán </w:t>
      </w:r>
      <w:r>
        <w:t>údržby na příští kalendářní rok.</w:t>
      </w:r>
      <w:r w:rsidR="00B31450">
        <w:t xml:space="preserve"> </w:t>
      </w:r>
      <w:r>
        <w:t xml:space="preserve">Účastník je povinen </w:t>
      </w:r>
      <w:r w:rsidR="00B31450">
        <w:t>poskytnout zadavateli veškerou součinnost při přípravě modernizace či případných úprav technických zařízení</w:t>
      </w:r>
      <w:r>
        <w:t>. Účastník je povinen</w:t>
      </w:r>
      <w:r w:rsidR="00B31450">
        <w:t xml:space="preserve"> poskytnout zadavateli veškeré písemné podklady ze svého majetku či držení, které se vztahují k technickému z</w:t>
      </w:r>
      <w:r>
        <w:t>ařízení. Účastník je povinen</w:t>
      </w:r>
      <w:r w:rsidR="00B31450">
        <w:t xml:space="preserve"> vést pasport</w:t>
      </w:r>
      <w:r>
        <w:t xml:space="preserve"> veřejného osvětlení</w:t>
      </w:r>
      <w:r w:rsidR="00B31450">
        <w:t>, zaznamenávat do něj všechny práce provedené na technickém zařízení, nové světelné body,</w:t>
      </w:r>
      <w:r w:rsidR="002F028E">
        <w:t xml:space="preserve"> změna vedení a úpravy, které</w:t>
      </w:r>
      <w:r w:rsidR="00B31450">
        <w:t xml:space="preserve"> předlož</w:t>
      </w:r>
      <w:r w:rsidR="002F028E">
        <w:t>í vždy</w:t>
      </w:r>
      <w:r w:rsidR="00B31450">
        <w:t xml:space="preserve"> na </w:t>
      </w:r>
      <w:r w:rsidR="00B353C7">
        <w:t xml:space="preserve">začátku následujícího </w:t>
      </w:r>
      <w:r w:rsidR="00B31450">
        <w:t xml:space="preserve">měsíce aktualizovaný </w:t>
      </w:r>
      <w:proofErr w:type="gramStart"/>
      <w:r w:rsidR="00B31450">
        <w:t>zadavateli</w:t>
      </w:r>
      <w:proofErr w:type="gramEnd"/>
      <w:r w:rsidR="00B31450">
        <w:t>.</w:t>
      </w:r>
      <w:r>
        <w:t xml:space="preserve"> </w:t>
      </w:r>
    </w:p>
    <w:p w14:paraId="4A482926" w14:textId="77777777" w:rsidR="00114CB7" w:rsidRPr="00A008E2" w:rsidRDefault="00B31450" w:rsidP="00A008E2">
      <w:pPr>
        <w:pStyle w:val="Zkladntext21"/>
        <w:shd w:val="clear" w:color="auto" w:fill="auto"/>
        <w:spacing w:before="0" w:after="0" w:line="270" w:lineRule="exact"/>
        <w:ind w:firstLine="0"/>
        <w:rPr>
          <w:u w:val="single"/>
        </w:rPr>
      </w:pPr>
      <w:r w:rsidRPr="00A008E2">
        <w:rPr>
          <w:u w:val="single"/>
        </w:rPr>
        <w:t>Rozsah plnění veřejné zakázky</w:t>
      </w:r>
    </w:p>
    <w:p w14:paraId="4D5F6BFF" w14:textId="77777777" w:rsidR="00114CB7" w:rsidRDefault="00B31450" w:rsidP="00A008E2">
      <w:pPr>
        <w:pStyle w:val="Zkladntext21"/>
        <w:numPr>
          <w:ilvl w:val="0"/>
          <w:numId w:val="1"/>
        </w:numPr>
        <w:shd w:val="clear" w:color="auto" w:fill="auto"/>
        <w:spacing w:before="0" w:after="486" w:line="270" w:lineRule="exact"/>
        <w:ind w:left="567" w:right="100" w:hanging="283"/>
        <w:jc w:val="both"/>
      </w:pPr>
      <w:r>
        <w:t>Pro účely soutěže zadavatel stanovil níže uvedené výchozí hodnoty, které definují rozsah předmětu veřejné zakázky:</w:t>
      </w:r>
    </w:p>
    <w:tbl>
      <w:tblPr>
        <w:tblOverlap w:val="never"/>
        <w:tblW w:w="8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"/>
        <w:gridCol w:w="5763"/>
        <w:gridCol w:w="2012"/>
      </w:tblGrid>
      <w:tr w:rsidR="00114CB7" w14:paraId="75BD7F86" w14:textId="77777777" w:rsidTr="00435000">
        <w:trPr>
          <w:trHeight w:hRule="exact" w:val="359"/>
          <w:jc w:val="center"/>
        </w:trPr>
        <w:tc>
          <w:tcPr>
            <w:tcW w:w="365" w:type="dxa"/>
            <w:shd w:val="clear" w:color="auto" w:fill="FFFFFF"/>
          </w:tcPr>
          <w:p w14:paraId="60BF03A1" w14:textId="47AF28AC" w:rsidR="00114CB7" w:rsidRDefault="00114CB7">
            <w:pPr>
              <w:framePr w:w="81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3" w:type="dxa"/>
            <w:shd w:val="clear" w:color="auto" w:fill="FFFFFF"/>
          </w:tcPr>
          <w:p w14:paraId="1AFB2A35" w14:textId="77777777" w:rsidR="00114CB7" w:rsidRDefault="00B31450">
            <w:pPr>
              <w:pStyle w:val="Zkladntext21"/>
              <w:framePr w:w="811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1"/>
              </w:rPr>
              <w:t>Druh technického zařízení</w:t>
            </w:r>
          </w:p>
        </w:tc>
        <w:tc>
          <w:tcPr>
            <w:tcW w:w="2012" w:type="dxa"/>
            <w:shd w:val="clear" w:color="auto" w:fill="FFFFFF"/>
          </w:tcPr>
          <w:p w14:paraId="308EEA41" w14:textId="77777777" w:rsidR="00114CB7" w:rsidRDefault="00B31450">
            <w:pPr>
              <w:pStyle w:val="Zkladntext21"/>
              <w:framePr w:w="8111" w:wrap="notBeside" w:vAnchor="text" w:hAnchor="text" w:xAlign="center" w:y="1"/>
              <w:shd w:val="clear" w:color="auto" w:fill="auto"/>
              <w:spacing w:before="0" w:after="0" w:line="240" w:lineRule="exact"/>
              <w:ind w:right="20" w:firstLine="0"/>
              <w:jc w:val="right"/>
            </w:pPr>
            <w:r>
              <w:rPr>
                <w:rStyle w:val="Zkladntext1"/>
              </w:rPr>
              <w:t>Počet kusů 1</w:t>
            </w:r>
          </w:p>
        </w:tc>
      </w:tr>
      <w:tr w:rsidR="00114CB7" w14:paraId="5BF943CE" w14:textId="77777777" w:rsidTr="00435000">
        <w:trPr>
          <w:trHeight w:hRule="exact" w:val="321"/>
          <w:jc w:val="center"/>
        </w:trPr>
        <w:tc>
          <w:tcPr>
            <w:tcW w:w="365" w:type="dxa"/>
            <w:shd w:val="clear" w:color="auto" w:fill="FFFFFF"/>
          </w:tcPr>
          <w:p w14:paraId="01D23590" w14:textId="77777777" w:rsidR="00114CB7" w:rsidRDefault="00B31450">
            <w:pPr>
              <w:pStyle w:val="Zkladntext21"/>
              <w:framePr w:w="8111" w:wrap="notBeside" w:vAnchor="text" w:hAnchor="text" w:xAlign="center" w:y="1"/>
              <w:shd w:val="clear" w:color="auto" w:fill="auto"/>
              <w:spacing w:before="0" w:after="0" w:line="240" w:lineRule="exact"/>
              <w:ind w:left="100" w:firstLine="0"/>
            </w:pPr>
            <w:r>
              <w:rPr>
                <w:rStyle w:val="Zkladntext1"/>
              </w:rPr>
              <w:t>a)</w:t>
            </w:r>
          </w:p>
        </w:tc>
        <w:tc>
          <w:tcPr>
            <w:tcW w:w="5763" w:type="dxa"/>
            <w:shd w:val="clear" w:color="auto" w:fill="FFFFFF"/>
          </w:tcPr>
          <w:p w14:paraId="785D8EC8" w14:textId="77777777" w:rsidR="00114CB7" w:rsidRDefault="00B31450">
            <w:pPr>
              <w:pStyle w:val="Zkladntext21"/>
              <w:framePr w:w="8111" w:wrap="notBeside" w:vAnchor="text" w:hAnchor="text" w:xAlign="center" w:y="1"/>
              <w:shd w:val="clear" w:color="auto" w:fill="auto"/>
              <w:spacing w:before="0" w:after="0" w:line="240" w:lineRule="exact"/>
              <w:ind w:left="80" w:firstLine="0"/>
            </w:pPr>
            <w:r>
              <w:rPr>
                <w:rStyle w:val="Zkladntext1"/>
              </w:rPr>
              <w:t>Světelný bod</w:t>
            </w:r>
          </w:p>
        </w:tc>
        <w:tc>
          <w:tcPr>
            <w:tcW w:w="2012" w:type="dxa"/>
            <w:shd w:val="clear" w:color="auto" w:fill="FFFFFF"/>
          </w:tcPr>
          <w:p w14:paraId="383B74B6" w14:textId="3CBE3CE9" w:rsidR="00114CB7" w:rsidRDefault="00B31450" w:rsidP="00ED4575">
            <w:pPr>
              <w:pStyle w:val="Zkladntext21"/>
              <w:framePr w:w="8111" w:wrap="notBeside" w:vAnchor="text" w:hAnchor="text" w:xAlign="center" w:y="1"/>
              <w:shd w:val="clear" w:color="auto" w:fill="auto"/>
              <w:spacing w:before="0" w:after="0" w:line="240" w:lineRule="exact"/>
              <w:ind w:left="80" w:firstLine="0"/>
            </w:pPr>
            <w:r>
              <w:rPr>
                <w:rStyle w:val="Zkladntext1"/>
              </w:rPr>
              <w:t>2.</w:t>
            </w:r>
            <w:r w:rsidR="002F028E">
              <w:rPr>
                <w:rStyle w:val="Zkladntext1"/>
              </w:rPr>
              <w:t>406</w:t>
            </w:r>
          </w:p>
        </w:tc>
      </w:tr>
      <w:tr w:rsidR="00114CB7" w14:paraId="650AADFA" w14:textId="77777777" w:rsidTr="00435000">
        <w:trPr>
          <w:trHeight w:hRule="exact" w:val="325"/>
          <w:jc w:val="center"/>
        </w:trPr>
        <w:tc>
          <w:tcPr>
            <w:tcW w:w="365" w:type="dxa"/>
            <w:shd w:val="clear" w:color="auto" w:fill="FFFFFF"/>
          </w:tcPr>
          <w:p w14:paraId="04AB1FF0" w14:textId="77777777" w:rsidR="00114CB7" w:rsidRDefault="00B31450">
            <w:pPr>
              <w:pStyle w:val="Zkladntext21"/>
              <w:framePr w:w="8111" w:wrap="notBeside" w:vAnchor="text" w:hAnchor="text" w:xAlign="center" w:y="1"/>
              <w:shd w:val="clear" w:color="auto" w:fill="auto"/>
              <w:spacing w:before="0" w:after="0" w:line="240" w:lineRule="exact"/>
              <w:ind w:left="100" w:firstLine="0"/>
            </w:pPr>
            <w:r>
              <w:rPr>
                <w:rStyle w:val="Zkladntext1"/>
              </w:rPr>
              <w:t>b)</w:t>
            </w:r>
          </w:p>
        </w:tc>
        <w:tc>
          <w:tcPr>
            <w:tcW w:w="5763" w:type="dxa"/>
            <w:shd w:val="clear" w:color="auto" w:fill="FFFFFF"/>
          </w:tcPr>
          <w:p w14:paraId="33F4F575" w14:textId="77777777" w:rsidR="00114CB7" w:rsidRDefault="00B31450">
            <w:pPr>
              <w:pStyle w:val="Zkladntext21"/>
              <w:framePr w:w="8111" w:wrap="notBeside" w:vAnchor="text" w:hAnchor="text" w:xAlign="center" w:y="1"/>
              <w:shd w:val="clear" w:color="auto" w:fill="auto"/>
              <w:spacing w:before="0" w:after="0" w:line="240" w:lineRule="exact"/>
              <w:ind w:left="80" w:firstLine="0"/>
            </w:pPr>
            <w:r>
              <w:rPr>
                <w:rStyle w:val="Zkladntext1"/>
              </w:rPr>
              <w:t>Světelná značka</w:t>
            </w:r>
          </w:p>
        </w:tc>
        <w:tc>
          <w:tcPr>
            <w:tcW w:w="2012" w:type="dxa"/>
            <w:shd w:val="clear" w:color="auto" w:fill="FFFFFF"/>
            <w:vAlign w:val="bottom"/>
          </w:tcPr>
          <w:p w14:paraId="577956FB" w14:textId="77777777" w:rsidR="00114CB7" w:rsidRDefault="00B31450">
            <w:pPr>
              <w:pStyle w:val="Zkladntext21"/>
              <w:framePr w:w="8111" w:wrap="notBeside" w:vAnchor="text" w:hAnchor="text" w:xAlign="center" w:y="1"/>
              <w:shd w:val="clear" w:color="auto" w:fill="auto"/>
              <w:spacing w:before="0" w:after="0" w:line="240" w:lineRule="exact"/>
              <w:ind w:left="80" w:firstLine="0"/>
            </w:pPr>
            <w:r>
              <w:rPr>
                <w:rStyle w:val="Zkladntext1"/>
              </w:rPr>
              <w:t>1</w:t>
            </w:r>
          </w:p>
        </w:tc>
      </w:tr>
      <w:tr w:rsidR="00114CB7" w14:paraId="31986DE9" w14:textId="77777777" w:rsidTr="00435000">
        <w:trPr>
          <w:trHeight w:hRule="exact" w:val="325"/>
          <w:jc w:val="center"/>
        </w:trPr>
        <w:tc>
          <w:tcPr>
            <w:tcW w:w="365" w:type="dxa"/>
            <w:shd w:val="clear" w:color="auto" w:fill="FFFFFF"/>
            <w:vAlign w:val="bottom"/>
          </w:tcPr>
          <w:p w14:paraId="65C14502" w14:textId="77777777" w:rsidR="00114CB7" w:rsidRDefault="00B31450">
            <w:pPr>
              <w:pStyle w:val="Zkladntext21"/>
              <w:framePr w:w="8111" w:wrap="notBeside" w:vAnchor="text" w:hAnchor="text" w:xAlign="center" w:y="1"/>
              <w:shd w:val="clear" w:color="auto" w:fill="auto"/>
              <w:spacing w:before="0" w:after="0" w:line="240" w:lineRule="exact"/>
              <w:ind w:left="100" w:firstLine="0"/>
            </w:pPr>
            <w:r>
              <w:rPr>
                <w:rStyle w:val="Zkladntext1"/>
              </w:rPr>
              <w:t>c)</w:t>
            </w:r>
          </w:p>
        </w:tc>
        <w:tc>
          <w:tcPr>
            <w:tcW w:w="5763" w:type="dxa"/>
            <w:shd w:val="clear" w:color="auto" w:fill="FFFFFF"/>
            <w:vAlign w:val="bottom"/>
          </w:tcPr>
          <w:p w14:paraId="42813ADD" w14:textId="77777777" w:rsidR="00114CB7" w:rsidRDefault="00B31450">
            <w:pPr>
              <w:pStyle w:val="Zkladntext21"/>
              <w:framePr w:w="8111" w:wrap="notBeside" w:vAnchor="text" w:hAnchor="text" w:xAlign="center" w:y="1"/>
              <w:shd w:val="clear" w:color="auto" w:fill="auto"/>
              <w:spacing w:before="0" w:after="0" w:line="240" w:lineRule="exact"/>
              <w:ind w:left="80" w:firstLine="0"/>
            </w:pPr>
            <w:r>
              <w:rPr>
                <w:rStyle w:val="Zkladntext1"/>
              </w:rPr>
              <w:t>Nasvícení přechodů</w:t>
            </w:r>
          </w:p>
        </w:tc>
        <w:tc>
          <w:tcPr>
            <w:tcW w:w="2012" w:type="dxa"/>
            <w:shd w:val="clear" w:color="auto" w:fill="FFFFFF"/>
          </w:tcPr>
          <w:p w14:paraId="72BC01A8" w14:textId="77777777" w:rsidR="00114CB7" w:rsidRDefault="00ED4575">
            <w:pPr>
              <w:pStyle w:val="Zkladntext21"/>
              <w:framePr w:w="8111" w:wrap="notBeside" w:vAnchor="text" w:hAnchor="text" w:xAlign="center" w:y="1"/>
              <w:shd w:val="clear" w:color="auto" w:fill="auto"/>
              <w:spacing w:before="0" w:after="0" w:line="240" w:lineRule="exact"/>
              <w:ind w:left="80" w:firstLine="0"/>
            </w:pPr>
            <w:r>
              <w:rPr>
                <w:rStyle w:val="Zkladntext1"/>
              </w:rPr>
              <w:t>77</w:t>
            </w:r>
          </w:p>
        </w:tc>
      </w:tr>
      <w:tr w:rsidR="00E919EA" w14:paraId="3CC99C68" w14:textId="77777777" w:rsidTr="00435000">
        <w:trPr>
          <w:trHeight w:hRule="exact" w:val="950"/>
          <w:jc w:val="center"/>
        </w:trPr>
        <w:tc>
          <w:tcPr>
            <w:tcW w:w="365" w:type="dxa"/>
            <w:shd w:val="clear" w:color="auto" w:fill="FFFFFF"/>
            <w:vAlign w:val="bottom"/>
          </w:tcPr>
          <w:p w14:paraId="3FBD626E" w14:textId="77777777" w:rsidR="00E919EA" w:rsidRDefault="00E919EA">
            <w:pPr>
              <w:pStyle w:val="Zkladntext21"/>
              <w:framePr w:w="8111" w:wrap="notBeside" w:vAnchor="text" w:hAnchor="text" w:xAlign="center" w:y="1"/>
              <w:shd w:val="clear" w:color="auto" w:fill="auto"/>
              <w:spacing w:before="0" w:after="0" w:line="240" w:lineRule="exact"/>
              <w:ind w:left="100" w:firstLine="0"/>
              <w:rPr>
                <w:rStyle w:val="Zkladntext1"/>
              </w:rPr>
            </w:pPr>
            <w:r>
              <w:rPr>
                <w:rStyle w:val="Zkladntext1"/>
              </w:rPr>
              <w:t>d)</w:t>
            </w:r>
          </w:p>
        </w:tc>
        <w:tc>
          <w:tcPr>
            <w:tcW w:w="5763" w:type="dxa"/>
            <w:shd w:val="clear" w:color="auto" w:fill="FFFFFF"/>
            <w:vAlign w:val="bottom"/>
          </w:tcPr>
          <w:p w14:paraId="5F75E72E" w14:textId="77777777" w:rsidR="00E919EA" w:rsidRDefault="00E919EA">
            <w:pPr>
              <w:pStyle w:val="Zkladntext21"/>
              <w:framePr w:w="8111" w:wrap="notBeside" w:vAnchor="text" w:hAnchor="text" w:xAlign="center" w:y="1"/>
              <w:shd w:val="clear" w:color="auto" w:fill="auto"/>
              <w:spacing w:before="0" w:after="0" w:line="240" w:lineRule="exact"/>
              <w:ind w:left="80" w:firstLine="0"/>
              <w:rPr>
                <w:rStyle w:val="Zkladntext1"/>
              </w:rPr>
            </w:pPr>
            <w:r>
              <w:rPr>
                <w:rStyle w:val="Zkladntext1"/>
              </w:rPr>
              <w:t>Soubor dopravních návěstidel, nosné konstrukce návěstidel, poptávková tlačítka pro chodce, světelné transparenty a řadiče SSS řídící provoz na přechodech</w:t>
            </w:r>
          </w:p>
        </w:tc>
        <w:tc>
          <w:tcPr>
            <w:tcW w:w="2012" w:type="dxa"/>
            <w:shd w:val="clear" w:color="auto" w:fill="FFFFFF"/>
          </w:tcPr>
          <w:p w14:paraId="4932CC04" w14:textId="77777777" w:rsidR="00E919EA" w:rsidRDefault="00E919EA">
            <w:pPr>
              <w:pStyle w:val="Zkladntext21"/>
              <w:framePr w:w="8111" w:wrap="notBeside" w:vAnchor="text" w:hAnchor="text" w:xAlign="center" w:y="1"/>
              <w:shd w:val="clear" w:color="auto" w:fill="auto"/>
              <w:spacing w:before="0" w:after="0" w:line="240" w:lineRule="exact"/>
              <w:ind w:left="80" w:firstLine="0"/>
              <w:rPr>
                <w:rStyle w:val="Zkladntext1"/>
              </w:rPr>
            </w:pPr>
            <w:r>
              <w:rPr>
                <w:rStyle w:val="Zkladntext1"/>
              </w:rPr>
              <w:t>2</w:t>
            </w:r>
          </w:p>
        </w:tc>
      </w:tr>
      <w:tr w:rsidR="00114CB7" w14:paraId="785CB180" w14:textId="77777777" w:rsidTr="00435000">
        <w:trPr>
          <w:trHeight w:hRule="exact" w:val="325"/>
          <w:jc w:val="center"/>
        </w:trPr>
        <w:tc>
          <w:tcPr>
            <w:tcW w:w="365" w:type="dxa"/>
            <w:shd w:val="clear" w:color="auto" w:fill="FFFFFF"/>
          </w:tcPr>
          <w:p w14:paraId="1D820B4A" w14:textId="77777777" w:rsidR="00114CB7" w:rsidRDefault="00E919EA">
            <w:pPr>
              <w:pStyle w:val="Zkladntext21"/>
              <w:framePr w:w="8111" w:wrap="notBeside" w:vAnchor="text" w:hAnchor="text" w:xAlign="center" w:y="1"/>
              <w:shd w:val="clear" w:color="auto" w:fill="auto"/>
              <w:spacing w:before="0" w:after="0" w:line="240" w:lineRule="exact"/>
              <w:ind w:left="100" w:firstLine="0"/>
            </w:pPr>
            <w:r>
              <w:rPr>
                <w:rStyle w:val="Zkladntext1"/>
              </w:rPr>
              <w:t>e)</w:t>
            </w:r>
          </w:p>
        </w:tc>
        <w:tc>
          <w:tcPr>
            <w:tcW w:w="5763" w:type="dxa"/>
            <w:shd w:val="clear" w:color="auto" w:fill="FFFFFF"/>
          </w:tcPr>
          <w:p w14:paraId="20F7D0A1" w14:textId="77777777" w:rsidR="00114CB7" w:rsidRDefault="00B31450">
            <w:pPr>
              <w:pStyle w:val="Zkladntext21"/>
              <w:framePr w:w="8111" w:wrap="notBeside" w:vAnchor="text" w:hAnchor="text" w:xAlign="center" w:y="1"/>
              <w:shd w:val="clear" w:color="auto" w:fill="auto"/>
              <w:spacing w:before="0" w:after="0" w:line="240" w:lineRule="exact"/>
              <w:ind w:left="80" w:firstLine="0"/>
            </w:pPr>
            <w:r>
              <w:rPr>
                <w:rStyle w:val="Zkladntext1"/>
              </w:rPr>
              <w:t>Svítidlo dekorativní a slavnostní</w:t>
            </w:r>
          </w:p>
        </w:tc>
        <w:tc>
          <w:tcPr>
            <w:tcW w:w="2012" w:type="dxa"/>
            <w:shd w:val="clear" w:color="auto" w:fill="FFFFFF"/>
          </w:tcPr>
          <w:p w14:paraId="5E0B738C" w14:textId="77777777" w:rsidR="00114CB7" w:rsidRDefault="00B31450">
            <w:pPr>
              <w:pStyle w:val="Zkladntext21"/>
              <w:framePr w:w="8111" w:wrap="notBeside" w:vAnchor="text" w:hAnchor="text" w:xAlign="center" w:y="1"/>
              <w:shd w:val="clear" w:color="auto" w:fill="auto"/>
              <w:spacing w:before="0" w:after="0" w:line="240" w:lineRule="exact"/>
              <w:ind w:left="80" w:firstLine="0"/>
            </w:pPr>
            <w:r>
              <w:rPr>
                <w:rStyle w:val="Zkladntext1"/>
              </w:rPr>
              <w:t>13</w:t>
            </w:r>
          </w:p>
        </w:tc>
      </w:tr>
      <w:tr w:rsidR="00114CB7" w14:paraId="358FAB1B" w14:textId="77777777" w:rsidTr="00435000">
        <w:trPr>
          <w:trHeight w:hRule="exact" w:val="321"/>
          <w:jc w:val="center"/>
        </w:trPr>
        <w:tc>
          <w:tcPr>
            <w:tcW w:w="365" w:type="dxa"/>
            <w:shd w:val="clear" w:color="auto" w:fill="FFFFFF"/>
          </w:tcPr>
          <w:p w14:paraId="17126E11" w14:textId="77777777" w:rsidR="00114CB7" w:rsidRDefault="00E919EA">
            <w:pPr>
              <w:pStyle w:val="Zkladntext21"/>
              <w:framePr w:w="8111" w:wrap="notBeside" w:vAnchor="text" w:hAnchor="text" w:xAlign="center" w:y="1"/>
              <w:shd w:val="clear" w:color="auto" w:fill="auto"/>
              <w:spacing w:before="0" w:after="0" w:line="240" w:lineRule="exact"/>
              <w:ind w:left="100" w:firstLine="0"/>
            </w:pPr>
            <w:r>
              <w:rPr>
                <w:rStyle w:val="Zkladntext1"/>
              </w:rPr>
              <w:t>f)</w:t>
            </w:r>
          </w:p>
        </w:tc>
        <w:tc>
          <w:tcPr>
            <w:tcW w:w="5763" w:type="dxa"/>
            <w:shd w:val="clear" w:color="auto" w:fill="FFFFFF"/>
          </w:tcPr>
          <w:p w14:paraId="391551AD" w14:textId="77777777" w:rsidR="00114CB7" w:rsidRDefault="00B31450">
            <w:pPr>
              <w:pStyle w:val="Zkladntext21"/>
              <w:framePr w:w="8111" w:wrap="notBeside" w:vAnchor="text" w:hAnchor="text" w:xAlign="center" w:y="1"/>
              <w:shd w:val="clear" w:color="auto" w:fill="auto"/>
              <w:spacing w:before="0" w:after="0" w:line="240" w:lineRule="exact"/>
              <w:ind w:left="80" w:firstLine="0"/>
            </w:pPr>
            <w:r>
              <w:rPr>
                <w:rStyle w:val="Zkladntext1"/>
              </w:rPr>
              <w:t>Rozvaděč měřící</w:t>
            </w:r>
          </w:p>
        </w:tc>
        <w:tc>
          <w:tcPr>
            <w:tcW w:w="2012" w:type="dxa"/>
            <w:shd w:val="clear" w:color="auto" w:fill="FFFFFF"/>
          </w:tcPr>
          <w:p w14:paraId="01EB28FA" w14:textId="69338252" w:rsidR="00114CB7" w:rsidRDefault="00E919EA">
            <w:pPr>
              <w:pStyle w:val="Zkladntext21"/>
              <w:framePr w:w="8111" w:wrap="notBeside" w:vAnchor="text" w:hAnchor="text" w:xAlign="center" w:y="1"/>
              <w:shd w:val="clear" w:color="auto" w:fill="auto"/>
              <w:spacing w:before="0" w:after="0" w:line="240" w:lineRule="exact"/>
              <w:ind w:left="80" w:firstLine="0"/>
            </w:pPr>
            <w:r>
              <w:rPr>
                <w:rStyle w:val="Zkladntext1"/>
              </w:rPr>
              <w:t>3</w:t>
            </w:r>
            <w:r w:rsidR="002F028E">
              <w:rPr>
                <w:rStyle w:val="Zkladntext1"/>
              </w:rPr>
              <w:t>4</w:t>
            </w:r>
          </w:p>
        </w:tc>
      </w:tr>
      <w:tr w:rsidR="00114CB7" w14:paraId="7D01ABC0" w14:textId="77777777" w:rsidTr="00435000">
        <w:trPr>
          <w:trHeight w:hRule="exact" w:val="325"/>
          <w:jc w:val="center"/>
        </w:trPr>
        <w:tc>
          <w:tcPr>
            <w:tcW w:w="365" w:type="dxa"/>
            <w:shd w:val="clear" w:color="auto" w:fill="FFFFFF"/>
            <w:vAlign w:val="bottom"/>
          </w:tcPr>
          <w:p w14:paraId="63A3EBB2" w14:textId="77777777" w:rsidR="00114CB7" w:rsidRDefault="00E919EA">
            <w:pPr>
              <w:pStyle w:val="Zkladntext21"/>
              <w:framePr w:w="8111" w:wrap="notBeside" w:vAnchor="text" w:hAnchor="text" w:xAlign="center" w:y="1"/>
              <w:shd w:val="clear" w:color="auto" w:fill="auto"/>
              <w:spacing w:before="0" w:after="0" w:line="240" w:lineRule="exact"/>
              <w:ind w:left="100" w:firstLine="0"/>
            </w:pPr>
            <w:r>
              <w:rPr>
                <w:rStyle w:val="Zkladntext1"/>
              </w:rPr>
              <w:t>g)</w:t>
            </w:r>
          </w:p>
        </w:tc>
        <w:tc>
          <w:tcPr>
            <w:tcW w:w="5763" w:type="dxa"/>
            <w:shd w:val="clear" w:color="auto" w:fill="FFFFFF"/>
            <w:vAlign w:val="bottom"/>
          </w:tcPr>
          <w:p w14:paraId="2296080C" w14:textId="77777777" w:rsidR="00114CB7" w:rsidRDefault="00B31450">
            <w:pPr>
              <w:pStyle w:val="Zkladntext21"/>
              <w:framePr w:w="8111" w:wrap="notBeside" w:vAnchor="text" w:hAnchor="text" w:xAlign="center" w:y="1"/>
              <w:shd w:val="clear" w:color="auto" w:fill="auto"/>
              <w:spacing w:before="0" w:after="0" w:line="240" w:lineRule="exact"/>
              <w:ind w:left="80" w:firstLine="0"/>
            </w:pPr>
            <w:r>
              <w:rPr>
                <w:rStyle w:val="Zkladntext1"/>
              </w:rPr>
              <w:t>Rozvaděč podružný</w:t>
            </w:r>
          </w:p>
        </w:tc>
        <w:tc>
          <w:tcPr>
            <w:tcW w:w="2012" w:type="dxa"/>
            <w:shd w:val="clear" w:color="auto" w:fill="FFFFFF"/>
            <w:vAlign w:val="bottom"/>
          </w:tcPr>
          <w:p w14:paraId="70BF7BEA" w14:textId="781B6F29" w:rsidR="00114CB7" w:rsidRDefault="00B31450" w:rsidP="00E919EA">
            <w:pPr>
              <w:pStyle w:val="Zkladntext21"/>
              <w:framePr w:w="8111" w:wrap="notBeside" w:vAnchor="text" w:hAnchor="text" w:xAlign="center" w:y="1"/>
              <w:shd w:val="clear" w:color="auto" w:fill="auto"/>
              <w:spacing w:before="0" w:after="0" w:line="240" w:lineRule="exact"/>
              <w:ind w:left="80" w:firstLine="0"/>
            </w:pPr>
            <w:r>
              <w:rPr>
                <w:rStyle w:val="Zkladntext1"/>
              </w:rPr>
              <w:t>3</w:t>
            </w:r>
            <w:r w:rsidR="002F028E">
              <w:rPr>
                <w:rStyle w:val="Zkladntext1"/>
              </w:rPr>
              <w:t>6</w:t>
            </w:r>
          </w:p>
        </w:tc>
      </w:tr>
      <w:tr w:rsidR="00114CB7" w14:paraId="78315357" w14:textId="77777777" w:rsidTr="00435000">
        <w:trPr>
          <w:trHeight w:hRule="exact" w:val="367"/>
          <w:jc w:val="center"/>
        </w:trPr>
        <w:tc>
          <w:tcPr>
            <w:tcW w:w="365" w:type="dxa"/>
            <w:shd w:val="clear" w:color="auto" w:fill="FFFFFF"/>
          </w:tcPr>
          <w:p w14:paraId="4426ECBF" w14:textId="77777777" w:rsidR="00114CB7" w:rsidRDefault="00E919EA">
            <w:pPr>
              <w:pStyle w:val="Zkladntext21"/>
              <w:framePr w:w="8111" w:wrap="notBeside" w:vAnchor="text" w:hAnchor="text" w:xAlign="center" w:y="1"/>
              <w:shd w:val="clear" w:color="auto" w:fill="auto"/>
              <w:spacing w:before="0" w:after="0" w:line="240" w:lineRule="exact"/>
              <w:ind w:left="100" w:firstLine="0"/>
            </w:pPr>
            <w:r>
              <w:rPr>
                <w:rStyle w:val="Zkladntext1"/>
              </w:rPr>
              <w:t>h)</w:t>
            </w:r>
          </w:p>
        </w:tc>
        <w:tc>
          <w:tcPr>
            <w:tcW w:w="5763" w:type="dxa"/>
            <w:shd w:val="clear" w:color="auto" w:fill="FFFFFF"/>
          </w:tcPr>
          <w:p w14:paraId="245528F1" w14:textId="77777777" w:rsidR="00114CB7" w:rsidRDefault="00B31450">
            <w:pPr>
              <w:pStyle w:val="Zkladntext21"/>
              <w:framePr w:w="8111" w:wrap="notBeside" w:vAnchor="text" w:hAnchor="text" w:xAlign="center" w:y="1"/>
              <w:shd w:val="clear" w:color="auto" w:fill="auto"/>
              <w:spacing w:before="0" w:after="0" w:line="240" w:lineRule="exact"/>
              <w:ind w:left="80" w:firstLine="0"/>
            </w:pPr>
            <w:r>
              <w:rPr>
                <w:rStyle w:val="Zkladntext1"/>
              </w:rPr>
              <w:t>Vánoční výzdoba</w:t>
            </w:r>
          </w:p>
        </w:tc>
        <w:tc>
          <w:tcPr>
            <w:tcW w:w="2012" w:type="dxa"/>
            <w:shd w:val="clear" w:color="auto" w:fill="FFFFFF"/>
          </w:tcPr>
          <w:p w14:paraId="721058F3" w14:textId="77777777" w:rsidR="00114CB7" w:rsidRDefault="00B31450">
            <w:pPr>
              <w:pStyle w:val="Zkladntext21"/>
              <w:framePr w:w="8111" w:wrap="notBeside" w:vAnchor="text" w:hAnchor="text" w:xAlign="center" w:y="1"/>
              <w:shd w:val="clear" w:color="auto" w:fill="auto"/>
              <w:spacing w:before="0" w:after="0" w:line="240" w:lineRule="exact"/>
              <w:ind w:left="80" w:firstLine="0"/>
            </w:pPr>
            <w:r>
              <w:rPr>
                <w:rStyle w:val="Zkladntext1"/>
              </w:rPr>
              <w:t>1 x za rok</w:t>
            </w:r>
          </w:p>
        </w:tc>
      </w:tr>
    </w:tbl>
    <w:p w14:paraId="1757348F" w14:textId="77777777" w:rsidR="00114CB7" w:rsidRDefault="00114CB7">
      <w:pPr>
        <w:rPr>
          <w:sz w:val="2"/>
          <w:szCs w:val="2"/>
        </w:rPr>
      </w:pPr>
    </w:p>
    <w:p w14:paraId="0788007C" w14:textId="77777777" w:rsidR="00ED4575" w:rsidRDefault="00ED4575">
      <w:pPr>
        <w:pStyle w:val="Zkladntext21"/>
        <w:shd w:val="clear" w:color="auto" w:fill="auto"/>
        <w:spacing w:before="0" w:after="0" w:line="274" w:lineRule="exact"/>
        <w:ind w:left="400" w:right="100" w:firstLine="0"/>
      </w:pPr>
    </w:p>
    <w:p w14:paraId="078740CF" w14:textId="76D86657" w:rsidR="00114CB7" w:rsidRDefault="00B31450" w:rsidP="00A008E2">
      <w:pPr>
        <w:pStyle w:val="Zkladntext21"/>
        <w:shd w:val="clear" w:color="auto" w:fill="auto"/>
        <w:spacing w:before="0" w:after="0" w:line="274" w:lineRule="exact"/>
        <w:ind w:right="100" w:firstLine="0"/>
        <w:jc w:val="both"/>
      </w:pPr>
      <w:r>
        <w:t xml:space="preserve">Zadavatel si vyhrazuje možnost rozšíření nebo zúžení rozsahu plnění veřejné zakázky v závislosti na budování případně rušení jednotlivých částí technického zařízení, nebo změny rozsahu údržby. Každá změna se nejprve zaznamená do stávajícího pasportu technického zařízení a až následně dojde k úpravě rozsahu plnění ve vztahu k vybranému </w:t>
      </w:r>
      <w:r w:rsidR="00435000">
        <w:t>účastníkovi</w:t>
      </w:r>
      <w:r>
        <w:t>.</w:t>
      </w:r>
      <w:r w:rsidR="00313FF2">
        <w:t xml:space="preserve"> V případě rozšíření plnění bude postupováno v souladu se smlouvou</w:t>
      </w:r>
      <w:r w:rsidR="007B1825">
        <w:t xml:space="preserve"> a zákonem č. 13</w:t>
      </w:r>
      <w:r w:rsidR="00173719">
        <w:t>4</w:t>
      </w:r>
      <w:r w:rsidR="007B1825">
        <w:t>/20</w:t>
      </w:r>
      <w:r w:rsidR="00173719">
        <w:t>1</w:t>
      </w:r>
      <w:r w:rsidR="007B1825">
        <w:t xml:space="preserve">6 Sb., o </w:t>
      </w:r>
      <w:r w:rsidR="00173719">
        <w:t xml:space="preserve">zadávání </w:t>
      </w:r>
      <w:r w:rsidR="007B1825">
        <w:t>veřejných zakáz</w:t>
      </w:r>
      <w:r w:rsidR="00173719">
        <w:t>e</w:t>
      </w:r>
      <w:r w:rsidR="007B1825">
        <w:t>k, ve znění pozdějších předpisů</w:t>
      </w:r>
      <w:r w:rsidR="00313FF2">
        <w:t>.</w:t>
      </w:r>
    </w:p>
    <w:p w14:paraId="532E1446" w14:textId="77777777" w:rsidR="007B1825" w:rsidRDefault="007B1825" w:rsidP="00A008E2">
      <w:pPr>
        <w:pStyle w:val="Zkladntext21"/>
        <w:shd w:val="clear" w:color="auto" w:fill="auto"/>
        <w:spacing w:before="0" w:after="0" w:line="274" w:lineRule="exact"/>
        <w:ind w:right="100" w:firstLine="0"/>
        <w:jc w:val="both"/>
      </w:pPr>
    </w:p>
    <w:p w14:paraId="29CC90C8" w14:textId="66DAFF14" w:rsidR="007B1825" w:rsidRDefault="007B1825" w:rsidP="00A008E2">
      <w:pPr>
        <w:pStyle w:val="Zkladntext21"/>
        <w:shd w:val="clear" w:color="auto" w:fill="auto"/>
        <w:spacing w:before="0" w:after="0" w:line="274" w:lineRule="exact"/>
        <w:ind w:right="100" w:firstLine="0"/>
        <w:jc w:val="both"/>
      </w:pPr>
      <w:r>
        <w:t>Pozn</w:t>
      </w:r>
      <w:r w:rsidR="00435000">
        <w:t>.</w:t>
      </w:r>
      <w:r>
        <w:t>:</w:t>
      </w:r>
      <w:r w:rsidR="00435000">
        <w:t xml:space="preserve"> </w:t>
      </w:r>
      <w:r>
        <w:t xml:space="preserve">Pokud je výše uváděno </w:t>
      </w:r>
      <w:r w:rsidR="00435000">
        <w:t>účastník</w:t>
      </w:r>
      <w:r>
        <w:t xml:space="preserve"> má </w:t>
      </w:r>
      <w:proofErr w:type="gramStart"/>
      <w:r>
        <w:t>se</w:t>
      </w:r>
      <w:proofErr w:type="gramEnd"/>
      <w:r>
        <w:t xml:space="preserve"> za to, že se jedná o smluvní stranu „Poskytovatele“.</w:t>
      </w:r>
    </w:p>
    <w:sectPr w:rsidR="007B1825">
      <w:type w:val="continuous"/>
      <w:pgSz w:w="11909" w:h="16838"/>
      <w:pgMar w:top="1619" w:right="1265" w:bottom="1619" w:left="12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28ACC" w14:textId="77777777" w:rsidR="000A773B" w:rsidRDefault="000A773B">
      <w:r>
        <w:separator/>
      </w:r>
    </w:p>
  </w:endnote>
  <w:endnote w:type="continuationSeparator" w:id="0">
    <w:p w14:paraId="6887E4DB" w14:textId="77777777" w:rsidR="000A773B" w:rsidRDefault="000A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9AFBB" w14:textId="77777777" w:rsidR="000A773B" w:rsidRDefault="000A773B"/>
  </w:footnote>
  <w:footnote w:type="continuationSeparator" w:id="0">
    <w:p w14:paraId="7C425264" w14:textId="77777777" w:rsidR="000A773B" w:rsidRDefault="000A773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04AD7"/>
    <w:multiLevelType w:val="hybridMultilevel"/>
    <w:tmpl w:val="B8E00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B7"/>
    <w:rsid w:val="00064C73"/>
    <w:rsid w:val="000A773B"/>
    <w:rsid w:val="00114CB7"/>
    <w:rsid w:val="00173719"/>
    <w:rsid w:val="00235A75"/>
    <w:rsid w:val="00293305"/>
    <w:rsid w:val="002A54E2"/>
    <w:rsid w:val="002F028E"/>
    <w:rsid w:val="00313FF2"/>
    <w:rsid w:val="00354AD4"/>
    <w:rsid w:val="00380B74"/>
    <w:rsid w:val="00435000"/>
    <w:rsid w:val="00511D15"/>
    <w:rsid w:val="005D693B"/>
    <w:rsid w:val="007000DF"/>
    <w:rsid w:val="00790EBD"/>
    <w:rsid w:val="007B1825"/>
    <w:rsid w:val="007C7478"/>
    <w:rsid w:val="00805479"/>
    <w:rsid w:val="008C7D20"/>
    <w:rsid w:val="00993BAB"/>
    <w:rsid w:val="00A008E2"/>
    <w:rsid w:val="00A2425E"/>
    <w:rsid w:val="00B177E9"/>
    <w:rsid w:val="00B31450"/>
    <w:rsid w:val="00B353C7"/>
    <w:rsid w:val="00B3720B"/>
    <w:rsid w:val="00C0196E"/>
    <w:rsid w:val="00C334AD"/>
    <w:rsid w:val="00CD22AE"/>
    <w:rsid w:val="00CF7812"/>
    <w:rsid w:val="00D475B7"/>
    <w:rsid w:val="00DC51F3"/>
    <w:rsid w:val="00DE7D6A"/>
    <w:rsid w:val="00E919EA"/>
    <w:rsid w:val="00ED4575"/>
    <w:rsid w:val="00FA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A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414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21">
    <w:name w:val="Základní text2"/>
    <w:basedOn w:val="Normln"/>
    <w:link w:val="Zkladntext"/>
    <w:pPr>
      <w:shd w:val="clear" w:color="auto" w:fill="FFFFFF"/>
      <w:spacing w:before="840" w:after="300" w:line="0" w:lineRule="atLeast"/>
      <w:ind w:hanging="140"/>
    </w:pPr>
    <w:rPr>
      <w:rFonts w:ascii="Times New Roman" w:eastAsia="Times New Roman" w:hAnsi="Times New Roman" w:cs="Times New Roman"/>
    </w:rPr>
  </w:style>
  <w:style w:type="table" w:styleId="Mkatabulky">
    <w:name w:val="Table Grid"/>
    <w:basedOn w:val="Normlntabulka"/>
    <w:uiPriority w:val="59"/>
    <w:rsid w:val="00A00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13F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3F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3FF2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3F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3FF2"/>
    <w:rPr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3F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FF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414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21">
    <w:name w:val="Základní text2"/>
    <w:basedOn w:val="Normln"/>
    <w:link w:val="Zkladntext"/>
    <w:pPr>
      <w:shd w:val="clear" w:color="auto" w:fill="FFFFFF"/>
      <w:spacing w:before="840" w:after="300" w:line="0" w:lineRule="atLeast"/>
      <w:ind w:hanging="140"/>
    </w:pPr>
    <w:rPr>
      <w:rFonts w:ascii="Times New Roman" w:eastAsia="Times New Roman" w:hAnsi="Times New Roman" w:cs="Times New Roman"/>
    </w:rPr>
  </w:style>
  <w:style w:type="table" w:styleId="Mkatabulky">
    <w:name w:val="Table Grid"/>
    <w:basedOn w:val="Normlntabulka"/>
    <w:uiPriority w:val="59"/>
    <w:rsid w:val="00A00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13F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3F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3FF2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3F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3FF2"/>
    <w:rPr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3F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FF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Jeništa Miroslav</dc:creator>
  <cp:lastModifiedBy>Poremska</cp:lastModifiedBy>
  <cp:revision>2</cp:revision>
  <dcterms:created xsi:type="dcterms:W3CDTF">2018-04-15T19:56:00Z</dcterms:created>
  <dcterms:modified xsi:type="dcterms:W3CDTF">2018-04-15T19:56:00Z</dcterms:modified>
</cp:coreProperties>
</file>